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xxxx公司关于xxxx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真实性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现对申报的2024年陕南发展专项资金(县域经济高质量发展专项)储备项目作如下郑重承诺: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(一)申报单位是具有独立法人资格，有健全的财务管理机构、严格的财务管理制度和合格的财务管理人员，资信条件良好、无非法违规行为的企业;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(二)申报项目符合国家法律法规、产业政策和市场准入条件，符合《陕西省秦岭生态环境保护条例》要求，符合陕南发展专项规划方向;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(三)申报项目建设地址在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略阳县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行政区划内，符合当地发展实际，符合《陕西省陕南发展专项资金管理办法》支持范围;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(四)申报项目的审批(核准或备案)、规划、土地、环保等手续齐全，投资结构合理;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(五)申报项目已开工建设;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</w:t>
      </w:r>
      <w:r>
        <w:rPr>
          <w:rFonts w:hint="eastAsia" w:ascii="仿宋_GB2312" w:hAnsi="仿宋_GB2312" w:eastAsia="仿宋_GB2312" w:cs="仿宋_GB2312"/>
          <w:sz w:val="32"/>
          <w:szCs w:val="32"/>
        </w:rPr>
        <w:t>用阶段具体承担项目组织实施以及资金真实申报、合规使用和有效管理的责任，自觉接受各级发改、财政部门的监督评价。如存在任何不符合《陕西省陕南发展专项资金管理办法》规定行为，自行承担相应责任。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X公司（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TRjZWRiZmJmZGEzZjFiNmJjNjIwYzI5ZWQxYzAifQ=="/>
  </w:docVars>
  <w:rsids>
    <w:rsidRoot w:val="71FF1FB9"/>
    <w:rsid w:val="71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2023-11-26T11:49:00Z</dcterms:created>
  <dc:creator>叶姿</dc:creator>
  <cp:lastModifiedBy>叶姿</cp:lastModifiedBy>
  <dcterms:modified xsi:type="dcterms:W3CDTF">2023-11-26T12:02:18Z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30F951C2BF2349748625F74FD2924A49_11</vt:lpwstr>
  </property>
</Properties>
</file>